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val="0"/>
          <w:bCs w:val="0"/>
          <w:sz w:val="32"/>
          <w:szCs w:val="32"/>
        </w:rPr>
      </w:pPr>
      <w:r>
        <w:rPr>
          <w:rFonts w:hint="eastAsia" w:ascii="黑体" w:hAnsi="黑体" w:eastAsia="黑体"/>
          <w:b w:val="0"/>
          <w:bCs w:val="0"/>
          <w:sz w:val="32"/>
          <w:szCs w:val="32"/>
        </w:rPr>
        <w:t>附件</w:t>
      </w:r>
      <w:r>
        <w:rPr>
          <w:rFonts w:hint="default" w:ascii="黑体" w:hAnsi="黑体" w:eastAsia="黑体"/>
          <w:b w:val="0"/>
          <w:bCs w:val="0"/>
          <w:sz w:val="32"/>
          <w:szCs w:val="32"/>
        </w:rPr>
        <w:t>3</w:t>
      </w:r>
      <w:r>
        <w:rPr>
          <w:rFonts w:hint="eastAsia" w:ascii="黑体" w:hAnsi="黑体" w:eastAsia="黑体"/>
          <w:b w:val="0"/>
          <w:bCs w:val="0"/>
          <w:sz w:val="32"/>
          <w:szCs w:val="32"/>
          <w:lang w:eastAsia="zh-CN"/>
        </w:rPr>
        <w:t>：</w:t>
      </w:r>
      <w:r>
        <w:rPr>
          <w:rFonts w:hint="eastAsia" w:ascii="黑体" w:hAnsi="黑体" w:eastAsia="黑体"/>
          <w:b w:val="0"/>
          <w:bCs w:val="0"/>
          <w:sz w:val="32"/>
          <w:szCs w:val="32"/>
        </w:rPr>
        <w:t>《暂行办法》申报材料清单</w:t>
      </w:r>
    </w:p>
    <w:p>
      <w:pPr>
        <w:rPr>
          <w:rFonts w:hint="eastAsia"/>
        </w:rPr>
      </w:pPr>
    </w:p>
    <w:tbl>
      <w:tblPr>
        <w:tblStyle w:val="13"/>
        <w:tblW w:w="9923"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8"/>
        <w:gridCol w:w="92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708" w:type="dxa"/>
            <w:tcBorders>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序号</w:t>
            </w:r>
          </w:p>
        </w:tc>
        <w:tc>
          <w:tcPr>
            <w:tcW w:w="9215" w:type="dxa"/>
            <w:tcBorders>
              <w:lef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材料名称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en-US" w:bidi="ar-SA"/>
              </w:rPr>
            </w:pPr>
            <w:r>
              <w:rPr>
                <w:rFonts w:hint="eastAsia" w:ascii="黑体" w:hAnsi="黑体" w:eastAsia="黑体" w:cs="Times New Roman"/>
                <w:kern w:val="0"/>
                <w:sz w:val="24"/>
                <w:szCs w:val="24"/>
                <w:lang w:val="en-US" w:eastAsia="en-US" w:bidi="ar-SA"/>
              </w:rPr>
              <w:t>一、基础申报材料</w:t>
            </w:r>
            <w:r>
              <w:rPr>
                <w:rStyle w:val="10"/>
                <w:rFonts w:hint="eastAsia" w:ascii="黑体" w:hAnsi="黑体" w:eastAsia="黑体" w:cs="Times New Roman"/>
                <w:kern w:val="0"/>
                <w:sz w:val="24"/>
                <w:szCs w:val="24"/>
                <w:lang w:val="en-US" w:eastAsia="en-US" w:bidi="ar-SA"/>
              </w:rPr>
              <w:footnoteReference w:id="0"/>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专项资金申请表（附件1）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营业执照或其他主体资格文件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前海合作区内办公场所的租赁合同（租赁）；购房合同、产权</w:t>
            </w:r>
            <w:r>
              <w:rPr>
                <w:rFonts w:hint="default" w:ascii="Calibri" w:hAnsi="仿宋" w:cs="Times New Roman"/>
                <w:kern w:val="0"/>
                <w:sz w:val="24"/>
                <w:szCs w:val="24"/>
                <w:lang w:eastAsia="zh-CN" w:bidi="ar-SA"/>
              </w:rPr>
              <w:t>文件</w:t>
            </w:r>
            <w:r>
              <w:rPr>
                <w:rFonts w:hint="eastAsia" w:ascii="Calibri" w:hAnsi="仿宋" w:eastAsia="宋体" w:cs="Times New Roman"/>
                <w:kern w:val="0"/>
                <w:sz w:val="24"/>
                <w:szCs w:val="24"/>
                <w:lang w:val="en-US" w:eastAsia="zh-CN" w:bidi="ar-SA"/>
              </w:rPr>
              <w:t>（购买）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708" w:type="dxa"/>
            <w:tcBorders>
              <w:top w:val="single" w:color="000000" w:sz="4" w:space="0"/>
              <w:bottom w:val="single" w:color="000000" w:sz="4" w:space="0"/>
              <w:right w:val="single" w:color="000000" w:sz="4" w:space="0"/>
            </w:tcBorders>
            <w:shd w:val="clear" w:color="auto" w:fill="auto"/>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4</w:t>
            </w:r>
          </w:p>
        </w:tc>
        <w:tc>
          <w:tcPr>
            <w:tcW w:w="9215" w:type="dxa"/>
            <w:tcBorders>
              <w:top w:val="single" w:color="000000" w:sz="4" w:space="0"/>
              <w:left w:val="single" w:color="000000" w:sz="4" w:space="0"/>
              <w:bottom w:val="single" w:color="000000" w:sz="4" w:space="0"/>
            </w:tcBorders>
            <w:shd w:val="clear" w:color="auto" w:fill="auto"/>
            <w:noWrap w:val="0"/>
            <w:vAlign w:val="top"/>
          </w:tcPr>
          <w:p>
            <w:pPr>
              <w:pStyle w:val="12"/>
              <w:spacing w:before="72"/>
              <w:ind w:left="0"/>
              <w:rPr>
                <w:rFonts w:hint="default" w:ascii="Calibri" w:hAnsi="仿宋" w:eastAsia="宋体" w:cs="Times New Roman"/>
                <w:kern w:val="0"/>
                <w:sz w:val="24"/>
                <w:szCs w:val="24"/>
                <w:lang w:eastAsia="zh-CN" w:bidi="ar-SA"/>
              </w:rPr>
            </w:pPr>
            <w:r>
              <w:rPr>
                <w:rFonts w:hint="default" w:ascii="Calibri" w:hAnsi="仿宋" w:cs="Times New Roman"/>
                <w:kern w:val="0"/>
                <w:sz w:val="24"/>
                <w:szCs w:val="24"/>
                <w:shd w:val="clear"/>
                <w:lang w:eastAsia="zh-CN" w:bidi="ar-SA"/>
              </w:rPr>
              <w:t>本年度纳税证明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5</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深圳市社保参保人数查询页（申报当月或上月）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6</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深圳信用网打印的完整版信用报告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708" w:type="dxa"/>
            <w:tcBorders>
              <w:top w:val="single" w:color="000000" w:sz="4" w:space="0"/>
              <w:bottom w:val="single" w:color="000000" w:sz="4" w:space="0"/>
              <w:right w:val="single" w:color="000000" w:sz="4" w:space="0"/>
            </w:tcBorders>
            <w:noWrap w:val="0"/>
            <w:vAlign w:val="center"/>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7</w:t>
            </w:r>
          </w:p>
        </w:tc>
        <w:tc>
          <w:tcPr>
            <w:tcW w:w="9215" w:type="dxa"/>
            <w:tcBorders>
              <w:top w:val="single" w:color="000000" w:sz="4" w:space="0"/>
              <w:left w:val="single" w:color="000000" w:sz="4" w:space="0"/>
              <w:bottom w:val="single" w:color="000000" w:sz="4" w:space="0"/>
            </w:tcBorders>
            <w:noWrap w:val="0"/>
            <w:vAlign w:val="top"/>
          </w:tcPr>
          <w:p>
            <w:pPr>
              <w:pStyle w:val="12"/>
              <w:numPr>
                <w:ilvl w:val="-1"/>
                <w:numId w:val="0"/>
              </w:numPr>
              <w:spacing w:before="0"/>
              <w:ind w:left="0"/>
              <w:rPr>
                <w:rFonts w:hint="eastAsia" w:ascii="Calibri" w:hAnsi="仿宋" w:eastAsia="宋体" w:cs="Times New Roman"/>
                <w:sz w:val="24"/>
                <w:szCs w:val="24"/>
                <w:lang w:eastAsia="zh-CN" w:bidi="ar-SA"/>
              </w:rPr>
            </w:pPr>
            <w:r>
              <w:rPr>
                <w:rFonts w:hint="default" w:ascii="Calibri" w:hAnsi="仿宋" w:cs="Times New Roman"/>
                <w:sz w:val="24"/>
                <w:szCs w:val="24"/>
                <w:lang w:bidi="ar-SA"/>
              </w:rPr>
              <w:t>申请港澳资机构1.2倍扶持的，需提供商务部门备案文件</w:t>
            </w:r>
            <w:r>
              <w:rPr>
                <w:rFonts w:hint="eastAsia" w:ascii="Calibri" w:hAnsi="仿宋" w:cs="Times New Roman"/>
                <w:sz w:val="24"/>
                <w:szCs w:val="24"/>
                <w:lang w:eastAsia="zh-CN" w:bidi="ar-SA"/>
              </w:rPr>
              <w:t>以及以下三类材料之一：</w:t>
            </w:r>
          </w:p>
          <w:p>
            <w:pPr>
              <w:pStyle w:val="12"/>
              <w:numPr>
                <w:ilvl w:val="0"/>
                <w:numId w:val="1"/>
              </w:numPr>
              <w:spacing w:before="0"/>
              <w:ind w:left="0"/>
              <w:rPr>
                <w:rFonts w:hint="default" w:ascii="Calibri" w:hAnsi="仿宋" w:cs="Times New Roman"/>
                <w:sz w:val="24"/>
                <w:szCs w:val="24"/>
                <w:lang w:bidi="ar-SA"/>
              </w:rPr>
            </w:pPr>
            <w:r>
              <w:rPr>
                <w:rFonts w:hint="default" w:ascii="Calibri" w:hAnsi="仿宋" w:cs="Times New Roman"/>
                <w:sz w:val="24"/>
                <w:szCs w:val="24"/>
                <w:lang w:bidi="ar-SA"/>
              </w:rPr>
              <w:t>港澳资股东的《内地与香港关于建立更紧密经贸关系的安排》（简称CEPA）项下香港服务提供者证明书</w:t>
            </w:r>
            <w:r>
              <w:rPr>
                <w:rFonts w:hint="eastAsia" w:ascii="Calibri" w:hAnsi="仿宋" w:cs="Times New Roman"/>
                <w:sz w:val="24"/>
                <w:szCs w:val="24"/>
                <w:lang w:eastAsia="zh-CN" w:bidi="ar-SA"/>
              </w:rPr>
              <w:t>；或</w:t>
            </w:r>
          </w:p>
          <w:p>
            <w:pPr>
              <w:pStyle w:val="12"/>
              <w:numPr>
                <w:ilvl w:val="0"/>
                <w:numId w:val="1"/>
              </w:numPr>
              <w:spacing w:before="0"/>
              <w:ind w:left="0"/>
              <w:rPr>
                <w:rFonts w:hint="default" w:ascii="Calibri" w:hAnsi="仿宋" w:eastAsia="宋体" w:cs="Times New Roman"/>
                <w:kern w:val="0"/>
                <w:sz w:val="24"/>
                <w:szCs w:val="24"/>
                <w:lang w:eastAsia="zh-CN" w:bidi="ar-SA"/>
              </w:rPr>
            </w:pPr>
            <w:r>
              <w:rPr>
                <w:rFonts w:hint="default" w:ascii="Calibri" w:hAnsi="仿宋" w:cs="Times New Roman"/>
                <w:sz w:val="24"/>
                <w:szCs w:val="24"/>
                <w:lang w:bidi="ar-SA"/>
              </w:rPr>
              <w:t>港澳资股东的以下材料：</w:t>
            </w:r>
            <w:r>
              <w:rPr>
                <w:rFonts w:hint="default" w:ascii="Calibri" w:hAnsi="Calibri" w:cs="Calibri"/>
                <w:sz w:val="24"/>
                <w:szCs w:val="24"/>
                <w:lang w:bidi="ar-SA"/>
              </w:rPr>
              <w:fldChar w:fldCharType="begin"/>
            </w:r>
            <w:r>
              <w:rPr>
                <w:rFonts w:hint="default" w:ascii="Calibri" w:hAnsi="Calibri" w:cs="Calibri"/>
                <w:sz w:val="24"/>
                <w:szCs w:val="24"/>
                <w:lang w:bidi="ar-SA"/>
              </w:rPr>
              <w:instrText xml:space="preserve"> = 1 \* GB3 \* MERGEFORMAT </w:instrText>
            </w:r>
            <w:r>
              <w:rPr>
                <w:rFonts w:hint="default" w:ascii="Calibri" w:hAnsi="Calibri" w:cs="Calibri"/>
                <w:sz w:val="24"/>
                <w:szCs w:val="24"/>
                <w:lang w:bidi="ar-SA"/>
              </w:rPr>
              <w:fldChar w:fldCharType="separate"/>
            </w:r>
            <w:r>
              <w:t>①</w:t>
            </w:r>
            <w:r>
              <w:rPr>
                <w:rFonts w:hint="default" w:ascii="Calibri" w:hAnsi="Calibri" w:cs="Calibri"/>
                <w:sz w:val="24"/>
                <w:szCs w:val="24"/>
                <w:lang w:bidi="ar-SA"/>
              </w:rPr>
              <w:fldChar w:fldCharType="end"/>
            </w:r>
            <w:r>
              <w:rPr>
                <w:rFonts w:hint="default" w:ascii="Calibri" w:hAnsi="仿宋" w:cs="Times New Roman"/>
                <w:sz w:val="24"/>
                <w:szCs w:val="24"/>
                <w:lang w:bidi="ar-SA"/>
              </w:rPr>
              <w:t>注册证及近两年的商业登记证；</w:t>
            </w:r>
            <w:r>
              <w:rPr>
                <w:rFonts w:hint="default" w:ascii="Calibri" w:hAnsi="Calibri" w:cs="Calibri"/>
                <w:sz w:val="24"/>
                <w:szCs w:val="24"/>
                <w:lang w:bidi="ar-SA"/>
              </w:rPr>
              <w:fldChar w:fldCharType="begin"/>
            </w:r>
            <w:r>
              <w:rPr>
                <w:rFonts w:hint="default" w:ascii="Calibri" w:hAnsi="Calibri" w:cs="Calibri"/>
                <w:sz w:val="24"/>
                <w:szCs w:val="24"/>
                <w:lang w:bidi="ar-SA"/>
              </w:rPr>
              <w:instrText xml:space="preserve"> = 2 \* GB3 \* MERGEFORMAT </w:instrText>
            </w:r>
            <w:r>
              <w:rPr>
                <w:rFonts w:hint="default" w:ascii="Calibri" w:hAnsi="Calibri" w:cs="Calibri"/>
                <w:sz w:val="24"/>
                <w:szCs w:val="24"/>
                <w:lang w:bidi="ar-SA"/>
              </w:rPr>
              <w:fldChar w:fldCharType="separate"/>
            </w:r>
            <w:r>
              <w:t>②</w:t>
            </w:r>
            <w:r>
              <w:rPr>
                <w:rFonts w:hint="default" w:ascii="Calibri" w:hAnsi="Calibri" w:cs="Calibri"/>
                <w:sz w:val="24"/>
                <w:szCs w:val="24"/>
                <w:lang w:bidi="ar-SA"/>
              </w:rPr>
              <w:fldChar w:fldCharType="end"/>
            </w:r>
            <w:r>
              <w:rPr>
                <w:rFonts w:hint="default" w:ascii="Calibri" w:hAnsi="仿宋" w:cs="Times New Roman"/>
                <w:sz w:val="24"/>
                <w:szCs w:val="24"/>
                <w:lang w:bidi="ar-SA"/>
              </w:rPr>
              <w:t>经营期间的利得税缴款单；</w:t>
            </w:r>
            <w:r>
              <w:rPr>
                <w:rFonts w:hint="default" w:ascii="Calibri" w:hAnsi="Calibri" w:cs="Calibri"/>
                <w:sz w:val="24"/>
                <w:szCs w:val="24"/>
                <w:lang w:bidi="ar-SA"/>
              </w:rPr>
              <w:fldChar w:fldCharType="begin"/>
            </w:r>
            <w:r>
              <w:rPr>
                <w:rFonts w:hint="default" w:ascii="Calibri" w:hAnsi="Calibri" w:cs="Calibri"/>
                <w:sz w:val="24"/>
                <w:szCs w:val="24"/>
                <w:lang w:bidi="ar-SA"/>
              </w:rPr>
              <w:instrText xml:space="preserve"> = 3 \* GB3 \* MERGEFORMAT </w:instrText>
            </w:r>
            <w:r>
              <w:rPr>
                <w:rFonts w:hint="default" w:ascii="Calibri" w:hAnsi="Calibri" w:cs="Calibri"/>
                <w:sz w:val="24"/>
                <w:szCs w:val="24"/>
                <w:lang w:bidi="ar-SA"/>
              </w:rPr>
              <w:fldChar w:fldCharType="separate"/>
            </w:r>
            <w:r>
              <w:t>③</w:t>
            </w:r>
            <w:r>
              <w:rPr>
                <w:rFonts w:hint="default" w:ascii="Calibri" w:hAnsi="Calibri" w:cs="Calibri"/>
                <w:sz w:val="24"/>
                <w:szCs w:val="24"/>
                <w:lang w:bidi="ar-SA"/>
              </w:rPr>
              <w:fldChar w:fldCharType="end"/>
            </w:r>
            <w:r>
              <w:rPr>
                <w:rFonts w:hint="default" w:ascii="Calibri" w:hAnsi="仿宋" w:cs="Times New Roman"/>
                <w:sz w:val="24"/>
                <w:szCs w:val="24"/>
                <w:lang w:bidi="ar-SA"/>
              </w:rPr>
              <w:t>港澳业务场所的租赁合同（租赁）或产权文件（购买）；</w:t>
            </w:r>
            <w:r>
              <w:rPr>
                <w:rFonts w:hint="default" w:ascii="Calibri" w:hAnsi="仿宋" w:cs="Times New Roman"/>
                <w:sz w:val="24"/>
                <w:szCs w:val="24"/>
                <w:lang w:bidi="ar-SA"/>
              </w:rPr>
              <w:fldChar w:fldCharType="begin"/>
            </w:r>
            <w:r>
              <w:rPr>
                <w:rFonts w:hint="default" w:ascii="Calibri" w:hAnsi="仿宋" w:cs="Times New Roman"/>
                <w:sz w:val="24"/>
                <w:szCs w:val="24"/>
                <w:lang w:bidi="ar-SA"/>
              </w:rPr>
              <w:instrText xml:space="preserve"> = 4 \* GB3 \* MERGEFORMAT </w:instrText>
            </w:r>
            <w:r>
              <w:rPr>
                <w:rFonts w:hint="default" w:ascii="Calibri" w:hAnsi="仿宋" w:cs="Times New Roman"/>
                <w:sz w:val="24"/>
                <w:szCs w:val="24"/>
                <w:lang w:bidi="ar-SA"/>
              </w:rPr>
              <w:fldChar w:fldCharType="separate"/>
            </w:r>
            <w:r>
              <w:t>④</w:t>
            </w:r>
            <w:r>
              <w:rPr>
                <w:rFonts w:hint="default" w:ascii="Calibri" w:hAnsi="仿宋" w:cs="Times New Roman"/>
                <w:sz w:val="24"/>
                <w:szCs w:val="24"/>
                <w:lang w:bidi="ar-SA"/>
              </w:rPr>
              <w:fldChar w:fldCharType="end"/>
            </w:r>
            <w:r>
              <w:rPr>
                <w:rFonts w:hint="default" w:ascii="Calibri" w:hAnsi="仿宋" w:cs="Times New Roman"/>
                <w:sz w:val="24"/>
                <w:szCs w:val="24"/>
                <w:lang w:bidi="ar-SA"/>
              </w:rPr>
              <w:t>与在港澳居留不受限制的居民或持单程证在港澳定居的内地人士签订的劳动合同（1份以上）</w:t>
            </w:r>
            <w:r>
              <w:rPr>
                <w:rFonts w:hint="eastAsia" w:ascii="Calibri" w:hAnsi="仿宋" w:cs="Times New Roman"/>
                <w:sz w:val="24"/>
                <w:szCs w:val="24"/>
                <w:lang w:eastAsia="zh-CN" w:bidi="ar-SA"/>
              </w:rPr>
              <w:t>；或</w:t>
            </w:r>
          </w:p>
          <w:p>
            <w:pPr>
              <w:pStyle w:val="12"/>
              <w:numPr>
                <w:ilvl w:val="0"/>
                <w:numId w:val="1"/>
              </w:numPr>
              <w:spacing w:before="0"/>
              <w:ind w:left="0"/>
              <w:rPr>
                <w:rFonts w:hint="default" w:ascii="Calibri" w:hAnsi="仿宋" w:eastAsia="宋体" w:cs="Times New Roman"/>
                <w:kern w:val="0"/>
                <w:sz w:val="24"/>
                <w:szCs w:val="24"/>
                <w:lang w:eastAsia="zh-CN" w:bidi="ar-SA"/>
              </w:rPr>
            </w:pPr>
            <w:r>
              <w:rPr>
                <w:rFonts w:hint="default" w:ascii="Calibri" w:hAnsi="仿宋" w:cs="Times New Roman"/>
                <w:sz w:val="24"/>
                <w:szCs w:val="24"/>
                <w:lang w:bidi="ar-SA"/>
              </w:rPr>
              <w:t>港澳资股东为个人的，提供港澳永久居民身份证或居民身份证（已注销内地户籍）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8</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企业承诺书（附件</w:t>
            </w:r>
            <w:r>
              <w:rPr>
                <w:rFonts w:hint="default" w:ascii="Calibri" w:hAnsi="仿宋" w:cs="Times New Roman"/>
                <w:kern w:val="0"/>
                <w:sz w:val="24"/>
                <w:szCs w:val="24"/>
                <w:lang w:eastAsia="en-US" w:bidi="ar-SA"/>
              </w:rPr>
              <w:t>5</w:t>
            </w:r>
            <w:r>
              <w:rPr>
                <w:rFonts w:hint="eastAsia" w:ascii="Calibri" w:hAnsi="仿宋" w:eastAsia="宋体" w:cs="Times New Roman"/>
                <w:kern w:val="0"/>
                <w:sz w:val="24"/>
                <w:szCs w:val="24"/>
                <w:lang w:val="en-US" w:eastAsia="en-US" w:bidi="ar-SA"/>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9</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前海管理局要求的其他材料（如需）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二、持牌金融机构落户扶持补充材料（第九条）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国家金融监管部门颁发的金融许可证/批准备案文件/业务资质</w:t>
            </w:r>
            <w:r>
              <w:rPr>
                <w:rFonts w:hint="default" w:ascii="Calibri" w:hAnsi="仿宋" w:cs="Times New Roman"/>
                <w:kern w:val="0"/>
                <w:sz w:val="24"/>
                <w:szCs w:val="24"/>
                <w:lang w:eastAsia="zh-CN" w:bidi="ar-SA"/>
              </w:rPr>
              <w:t>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金融企业总部的深圳市级分公司需提供唯一深圳市级分公司</w:t>
            </w:r>
            <w:r>
              <w:rPr>
                <w:rFonts w:hint="default" w:ascii="Calibri" w:hAnsi="仿宋" w:cs="Times New Roman"/>
                <w:kern w:val="0"/>
                <w:sz w:val="24"/>
                <w:szCs w:val="24"/>
                <w:lang w:eastAsia="zh-CN" w:bidi="ar-SA"/>
              </w:rPr>
              <w:t>材料</w:t>
            </w:r>
            <w:r>
              <w:rPr>
                <w:rFonts w:hint="eastAsia" w:ascii="Calibri" w:hAnsi="仿宋" w:eastAsia="宋体" w:cs="Times New Roman"/>
                <w:kern w:val="0"/>
                <w:sz w:val="24"/>
                <w:szCs w:val="24"/>
                <w:lang w:val="en-US" w:eastAsia="zh-CN" w:bidi="ar-SA"/>
              </w:rPr>
              <w:t>（第三项）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实收资本验资报告（第四项、第五项）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三、金融科技企业集聚扶持补充材料（第十条）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（一）金融科技企业一次性落户扶持（第一项）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股东的主体资格文件、业务资质文件，如股东是境外主体，需提供经使领馆认证的上述材料（中英文版）、外资到账</w:t>
            </w:r>
            <w:r>
              <w:rPr>
                <w:rFonts w:hint="default" w:ascii="Calibri" w:hAnsi="仿宋" w:cs="Times New Roman"/>
                <w:kern w:val="0"/>
                <w:sz w:val="24"/>
                <w:szCs w:val="24"/>
                <w:lang w:eastAsia="zh-CN" w:bidi="ar-SA"/>
              </w:rPr>
              <w:t>材料</w:t>
            </w:r>
            <w:r>
              <w:rPr>
                <w:rFonts w:hint="eastAsia" w:ascii="Calibri" w:hAnsi="仿宋" w:eastAsia="宋体" w:cs="Times New Roman"/>
                <w:kern w:val="0"/>
                <w:sz w:val="24"/>
                <w:szCs w:val="24"/>
                <w:lang w:val="en-US" w:eastAsia="zh-CN" w:bidi="ar-SA"/>
              </w:rPr>
              <w:t>（外汇主管部门业务登记凭证、FDI入账登记表及银行入账业务回单）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实收资本验资报告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金融科技企业章程及审计报告（为金融机构提供科技服务的业务收入占50%以上）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（二）金融创新监管试点扶持（第二项）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四、金融租赁和融资租赁经营扶持补充材料（第十一条）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（一）飞机、船舶、海工设备等业务补充材料（第一项）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专项审计报告（应列明2021年度飞机、船舶、海工设备等租赁业务实际交易租赁合同金额、期限或租赁资产购买合同金额、期限以及对应的租赁物品清单）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（二）绿色租赁业务补充材料（第二项）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专项审计报告（应列明2020年度绿色租赁存量业务余额和2021年度新增绿色租赁业务投放金额、对应的租赁物品清单）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（三）其它融资租赁业务扶持补充材料（第三项）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专项审计报告（应列明2020年度租赁资产规模和2021年度实际融资总额、合同期限、对应的租赁物品清单）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五、商业保理</w:t>
            </w:r>
            <w:r>
              <w:rPr>
                <w:rFonts w:hint="default" w:ascii="黑体" w:hAnsi="黑体" w:eastAsia="黑体" w:cs="Times New Roman"/>
                <w:kern w:val="0"/>
                <w:sz w:val="24"/>
                <w:szCs w:val="24"/>
                <w:lang w:eastAsia="zh-CN" w:bidi="ar-SA"/>
              </w:rPr>
              <w:t>经营</w:t>
            </w:r>
            <w:r>
              <w:rPr>
                <w:rFonts w:hint="eastAsia" w:ascii="黑体" w:hAnsi="黑体" w:eastAsia="黑体" w:cs="Times New Roman"/>
                <w:kern w:val="0"/>
                <w:sz w:val="24"/>
                <w:szCs w:val="24"/>
                <w:lang w:val="en-US" w:eastAsia="zh-CN" w:bidi="ar-SA"/>
              </w:rPr>
              <w:t>扶持补充材料（第十二条）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专项审计报告（应列明2020年度为企业提供的融资总额、为企业提供保理融资的放款明细表）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实际控制人</w:t>
            </w:r>
            <w:r>
              <w:rPr>
                <w:rFonts w:hint="default" w:ascii="Calibri" w:hAnsi="仿宋" w:cs="Times New Roman"/>
                <w:kern w:val="0"/>
                <w:sz w:val="24"/>
                <w:szCs w:val="24"/>
                <w:lang w:eastAsia="zh-CN" w:bidi="ar-SA"/>
              </w:rPr>
              <w:t>说明</w:t>
            </w:r>
            <w:r>
              <w:rPr>
                <w:rFonts w:hint="eastAsia" w:ascii="Calibri" w:hAnsi="仿宋" w:eastAsia="宋体" w:cs="Times New Roman"/>
                <w:kern w:val="0"/>
                <w:sz w:val="24"/>
                <w:szCs w:val="24"/>
                <w:lang w:val="en-US" w:eastAsia="zh-CN" w:bidi="ar-SA"/>
              </w:rPr>
              <w:t>和高管团队名录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六、</w:t>
            </w:r>
            <w:bookmarkStart w:id="0" w:name="_Hlk82075221"/>
            <w:r>
              <w:rPr>
                <w:rFonts w:hint="eastAsia" w:ascii="黑体" w:hAnsi="黑体" w:eastAsia="黑体" w:cs="Times New Roman"/>
                <w:kern w:val="0"/>
                <w:sz w:val="24"/>
                <w:szCs w:val="24"/>
                <w:lang w:val="en-US" w:eastAsia="zh-CN" w:bidi="ar-SA"/>
              </w:rPr>
              <w:t>数字人民币应用推广扶持补充材料（第十三条）</w:t>
            </w:r>
            <w:bookmarkEnd w:id="0"/>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（一）试点跨境应用场景（第一项）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jc w:val="center"/>
        </w:trPr>
        <w:tc>
          <w:tcPr>
            <w:tcW w:w="708" w:type="dxa"/>
            <w:tcBorders>
              <w:top w:val="single" w:color="000000" w:sz="4" w:space="0"/>
              <w:bottom w:val="single" w:color="000000" w:sz="4" w:space="0"/>
              <w:right w:val="single" w:color="000000" w:sz="4" w:space="0"/>
            </w:tcBorders>
            <w:noWrap w:val="0"/>
            <w:vAlign w:val="center"/>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信息化系统改造的</w:t>
            </w:r>
            <w:r>
              <w:rPr>
                <w:rFonts w:hint="default" w:ascii="Calibri" w:hAnsi="仿宋" w:cs="Times New Roman"/>
                <w:kern w:val="0"/>
                <w:sz w:val="24"/>
                <w:szCs w:val="24"/>
                <w:lang w:eastAsia="zh-CN" w:bidi="ar-SA"/>
              </w:rPr>
              <w:t>材料</w:t>
            </w:r>
            <w:r>
              <w:rPr>
                <w:rFonts w:hint="eastAsia" w:ascii="Calibri" w:hAnsi="仿宋" w:eastAsia="宋体" w:cs="Times New Roman"/>
                <w:kern w:val="0"/>
                <w:sz w:val="24"/>
                <w:szCs w:val="24"/>
                <w:lang w:val="en-US" w:eastAsia="zh-CN" w:bidi="ar-SA"/>
              </w:rPr>
              <w:t>或跨境应用场景说明及资金流水（第一点）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jc w:val="center"/>
        </w:trPr>
        <w:tc>
          <w:tcPr>
            <w:tcW w:w="708" w:type="dxa"/>
            <w:tcBorders>
              <w:top w:val="single" w:color="000000" w:sz="4" w:space="0"/>
              <w:bottom w:val="single" w:color="000000" w:sz="4" w:space="0"/>
              <w:right w:val="single" w:color="000000" w:sz="4" w:space="0"/>
            </w:tcBorders>
            <w:noWrap w:val="0"/>
            <w:vAlign w:val="center"/>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跨境交易流水等</w:t>
            </w:r>
            <w:r>
              <w:rPr>
                <w:rFonts w:hint="default" w:ascii="Calibri" w:hAnsi="仿宋" w:cs="Times New Roman"/>
                <w:kern w:val="0"/>
                <w:sz w:val="24"/>
                <w:szCs w:val="24"/>
                <w:lang w:eastAsia="zh-CN" w:bidi="ar-SA"/>
              </w:rPr>
              <w:t>材料</w:t>
            </w:r>
            <w:r>
              <w:rPr>
                <w:rFonts w:hint="eastAsia" w:ascii="Calibri" w:hAnsi="仿宋" w:eastAsia="宋体" w:cs="Times New Roman"/>
                <w:kern w:val="0"/>
                <w:sz w:val="24"/>
                <w:szCs w:val="24"/>
                <w:lang w:val="en-US" w:eastAsia="zh-CN" w:bidi="ar-SA"/>
              </w:rPr>
              <w:t>（第二点）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jc w:val="center"/>
        </w:trPr>
        <w:tc>
          <w:tcPr>
            <w:tcW w:w="708" w:type="dxa"/>
            <w:tcBorders>
              <w:top w:val="single" w:color="000000" w:sz="4" w:space="0"/>
              <w:bottom w:val="single" w:color="000000" w:sz="4" w:space="0"/>
              <w:right w:val="single" w:color="000000" w:sz="4" w:space="0"/>
            </w:tcBorders>
            <w:noWrap w:val="0"/>
            <w:vAlign w:val="center"/>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试点运营机构总部关于设立数字人民币实验室等文件（第三点）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jc w:val="center"/>
        </w:trPr>
        <w:tc>
          <w:tcPr>
            <w:tcW w:w="708" w:type="dxa"/>
            <w:tcBorders>
              <w:top w:val="single" w:color="000000" w:sz="4" w:space="0"/>
              <w:bottom w:val="single" w:color="000000" w:sz="4" w:space="0"/>
              <w:right w:val="single" w:color="000000" w:sz="4" w:space="0"/>
            </w:tcBorders>
            <w:noWrap w:val="0"/>
            <w:vAlign w:val="center"/>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4</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试点运营机构开通数字人民币支付功能的前海商户门店一览表，开通数字人民币钱包截图及支付流水（第四点）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1"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（二）机构一次性落户奖励（第二项）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国家金融监管部门认可开展数字人民币业务的文件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实收资本验资报告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七、</w:t>
            </w:r>
            <w:bookmarkStart w:id="1" w:name="_Hlk82075243"/>
            <w:r>
              <w:rPr>
                <w:rFonts w:hint="eastAsia" w:ascii="黑体" w:hAnsi="黑体" w:eastAsia="黑体" w:cs="Times New Roman"/>
                <w:kern w:val="0"/>
                <w:sz w:val="24"/>
                <w:szCs w:val="24"/>
                <w:lang w:val="en-US" w:eastAsia="zh-CN" w:bidi="ar-SA"/>
              </w:rPr>
              <w:t>前海企业上市扶持补充材料（第十四条）</w:t>
            </w:r>
            <w:bookmarkEnd w:id="1"/>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企业关于上市情况的说明（包括上市时间、上市地点、证券代码、规模等情况）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9923" w:type="dxa"/>
            <w:gridSpan w:val="2"/>
            <w:tcBorders>
              <w:top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八、金融控股类公司经营团队扶持补充材料（第十五条）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实收资本验资报告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总资产达标的有效证明材料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实际控制3家前海金融总部企业的</w:t>
            </w:r>
            <w:r>
              <w:rPr>
                <w:rFonts w:hint="default" w:ascii="Calibri" w:hAnsi="仿宋" w:cs="Times New Roman"/>
                <w:kern w:val="0"/>
                <w:sz w:val="24"/>
                <w:szCs w:val="24"/>
                <w:lang w:eastAsia="zh-CN" w:bidi="ar-SA"/>
              </w:rPr>
              <w:t>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4</w:t>
            </w:r>
          </w:p>
        </w:tc>
        <w:tc>
          <w:tcPr>
            <w:tcW w:w="9215" w:type="dxa"/>
            <w:tcBorders>
              <w:top w:val="single" w:color="000000" w:sz="4" w:space="0"/>
              <w:left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实际控制的金融企业总部的营业执照、金融许可证、办公场地证明、税务关系</w:t>
            </w:r>
            <w:r>
              <w:rPr>
                <w:rFonts w:hint="default" w:ascii="Calibri" w:hAnsi="仿宋" w:cs="Times New Roman"/>
                <w:kern w:val="0"/>
                <w:sz w:val="24"/>
                <w:szCs w:val="24"/>
                <w:lang w:eastAsia="zh-CN" w:bidi="ar-SA"/>
              </w:rPr>
              <w:t>材料</w:t>
            </w:r>
            <w:r>
              <w:rPr>
                <w:rFonts w:hint="eastAsia" w:ascii="Calibri" w:hAnsi="仿宋" w:eastAsia="宋体" w:cs="Times New Roman"/>
                <w:kern w:val="0"/>
                <w:sz w:val="24"/>
                <w:szCs w:val="24"/>
                <w:lang w:val="en-US" w:eastAsia="zh-CN" w:bidi="ar-SA"/>
              </w:rPr>
              <w:t>、深圳市社保参保人数查询页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5</w:t>
            </w:r>
          </w:p>
        </w:tc>
        <w:tc>
          <w:tcPr>
            <w:tcW w:w="9215" w:type="dxa"/>
            <w:tcBorders>
              <w:top w:val="single" w:color="000000" w:sz="4" w:space="0"/>
              <w:left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符合扶持政策的员工名单及金额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bookmarkStart w:id="2" w:name="_Hlk82075256"/>
            <w:r>
              <w:rPr>
                <w:rFonts w:hint="eastAsia" w:ascii="黑体" w:hAnsi="黑体" w:eastAsia="黑体" w:cs="Times New Roman"/>
                <w:kern w:val="0"/>
                <w:sz w:val="24"/>
                <w:szCs w:val="24"/>
                <w:lang w:val="en-US" w:eastAsia="zh-CN" w:bidi="ar-SA"/>
              </w:rPr>
              <w:t>九、绿色金融发展扶持补充材料（第十六条）</w:t>
            </w:r>
            <w:bookmarkEnd w:id="2"/>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9923" w:type="dxa"/>
            <w:gridSpan w:val="2"/>
            <w:tcBorders>
              <w:top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（一）一次性落户奖励（第一项）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市地方金融监管等部门的认定材料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（二）绿色债券发行扶持（第二项）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发行绿色债券的相关文件</w:t>
            </w:r>
            <w:r>
              <w:rPr>
                <w:rFonts w:hint="default" w:ascii="Calibri" w:hAnsi="仿宋" w:cs="Times New Roman"/>
                <w:kern w:val="0"/>
                <w:sz w:val="24"/>
                <w:szCs w:val="24"/>
                <w:lang w:eastAsia="zh-CN" w:bidi="ar-SA"/>
              </w:rPr>
              <w:t>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债券募集说明书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债券发行募集资金收款凭证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4</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律师事务所或承销商出具的债券发行募集完毕</w:t>
            </w:r>
            <w:r>
              <w:rPr>
                <w:rFonts w:hint="default" w:ascii="Calibri" w:hAnsi="仿宋" w:cs="Times New Roman"/>
                <w:kern w:val="0"/>
                <w:sz w:val="24"/>
                <w:szCs w:val="24"/>
                <w:lang w:eastAsia="zh-CN" w:bidi="ar-SA"/>
              </w:rPr>
              <w:t>材料</w:t>
            </w:r>
            <w:r>
              <w:rPr>
                <w:rFonts w:hint="eastAsia" w:ascii="Calibri" w:hAnsi="仿宋" w:eastAsia="宋体" w:cs="Times New Roman"/>
                <w:kern w:val="0"/>
                <w:sz w:val="24"/>
                <w:szCs w:val="24"/>
                <w:lang w:val="en-US" w:eastAsia="zh-CN" w:bidi="ar-SA"/>
              </w:rPr>
              <w:t>（附有律师事务所或承销商的营业</w:t>
            </w:r>
          </w:p>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执照和执业许可证）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5</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赴港境外发债的需提交国家发改委出具的《企业借用外债备案登记证明》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w:t>
            </w:r>
            <w:bookmarkStart w:id="3" w:name="_Hlk82075285"/>
            <w:r>
              <w:rPr>
                <w:rFonts w:hint="eastAsia" w:ascii="黑体" w:hAnsi="黑体" w:eastAsia="黑体" w:cs="Times New Roman"/>
                <w:kern w:val="0"/>
                <w:sz w:val="24"/>
                <w:szCs w:val="24"/>
                <w:lang w:val="en-US" w:eastAsia="zh-CN" w:bidi="ar-SA"/>
              </w:rPr>
              <w:t>重大粤港澳金融合作平台一次性落户奖励补充材料（第十八条）</w:t>
            </w:r>
            <w:bookmarkEnd w:id="3"/>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708" w:type="dxa"/>
            <w:tcBorders>
              <w:top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国家有关部门批复成立重大粤港澳金融合作平台的文件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十一、</w:t>
            </w:r>
            <w:bookmarkStart w:id="4" w:name="_Hlk82075302"/>
            <w:r>
              <w:rPr>
                <w:rFonts w:hint="eastAsia" w:ascii="黑体" w:hAnsi="黑体" w:eastAsia="黑体" w:cs="Times New Roman"/>
                <w:kern w:val="0"/>
                <w:sz w:val="24"/>
                <w:szCs w:val="24"/>
                <w:lang w:val="en-US" w:eastAsia="zh-CN" w:bidi="ar-SA"/>
              </w:rPr>
              <w:t>外商投资企业设立私募基金扶持补充材料（第十九条</w:t>
            </w:r>
            <w:bookmarkEnd w:id="4"/>
            <w:r>
              <w:rPr>
                <w:rFonts w:hint="eastAsia" w:ascii="黑体" w:hAnsi="黑体" w:eastAsia="黑体" w:cs="Times New Roman"/>
                <w:kern w:val="0"/>
                <w:sz w:val="24"/>
                <w:szCs w:val="24"/>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在中国证券投资基金业协会登记及产品备案的文件</w:t>
            </w:r>
            <w:r>
              <w:rPr>
                <w:rFonts w:hint="default" w:ascii="Calibri" w:hAnsi="仿宋" w:cs="Times New Roman"/>
                <w:kern w:val="0"/>
                <w:sz w:val="24"/>
                <w:szCs w:val="24"/>
                <w:lang w:eastAsia="zh-CN" w:bidi="ar-SA"/>
              </w:rPr>
              <w:t>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十二、</w:t>
            </w:r>
            <w:bookmarkStart w:id="5" w:name="_Hlk82075338"/>
            <w:r>
              <w:rPr>
                <w:rFonts w:hint="eastAsia" w:ascii="黑体" w:hAnsi="黑体" w:eastAsia="黑体" w:cs="Times New Roman"/>
                <w:kern w:val="0"/>
                <w:sz w:val="24"/>
                <w:szCs w:val="24"/>
                <w:lang w:val="en-US" w:eastAsia="zh-CN" w:bidi="ar-SA"/>
              </w:rPr>
              <w:t>深港金融科技加速器运营扶持补充材料（第二十条）</w:t>
            </w:r>
            <w:bookmarkEnd w:id="5"/>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运营方办公用房产权证书或租赁合同或其他文件</w:t>
            </w:r>
            <w:r>
              <w:rPr>
                <w:rFonts w:hint="default" w:ascii="Calibri" w:hAnsi="仿宋" w:cs="Times New Roman"/>
                <w:kern w:val="0"/>
                <w:sz w:val="24"/>
                <w:szCs w:val="24"/>
                <w:lang w:eastAsia="zh-CN" w:bidi="ar-SA"/>
              </w:rPr>
              <w:t>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证明运营方与被加速企业关系的文件，如运营方和被加速企业之间的服务协议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运营方过往加速的金融科技企业在近两年内获得股权融资的投资合同（协议）和银行交易流水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4</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被加速企业的营业执照及与金融机构签订的服务合同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5</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运营方承诺书（承诺每年进入加速器的港资企业占比30%以上）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6</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加速器运营方为港资机构的，需提供股东资格证明材料及商务部门备案文件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十三、</w:t>
            </w:r>
            <w:bookmarkStart w:id="6" w:name="_Hlk82075536"/>
            <w:r>
              <w:rPr>
                <w:rFonts w:hint="eastAsia" w:ascii="黑体" w:hAnsi="黑体" w:eastAsia="黑体" w:cs="Times New Roman"/>
                <w:kern w:val="0"/>
                <w:sz w:val="24"/>
                <w:szCs w:val="24"/>
                <w:lang w:val="en-US" w:eastAsia="zh-CN" w:bidi="ar-SA"/>
              </w:rPr>
              <w:t>港澳及外资机构新注册外资机构筹备扶持补充材料（第二十一条）</w:t>
            </w:r>
            <w:bookmarkEnd w:id="6"/>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港澳及外资机构主体资格文件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国家金融监管部门出具的受理凭证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承诺书（如获批，承诺落户前海）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十四、</w:t>
            </w:r>
            <w:bookmarkStart w:id="7" w:name="_Hlk82075574"/>
            <w:r>
              <w:rPr>
                <w:rFonts w:hint="eastAsia" w:ascii="黑体" w:hAnsi="黑体" w:eastAsia="黑体" w:cs="Times New Roman"/>
                <w:kern w:val="0"/>
                <w:sz w:val="24"/>
                <w:szCs w:val="24"/>
                <w:lang w:val="en-US" w:eastAsia="zh-CN" w:bidi="ar-SA"/>
              </w:rPr>
              <w:t>香港金融行业组织落户奖励补充材料（第二十二条）</w:t>
            </w:r>
            <w:bookmarkEnd w:id="7"/>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（一）分支机构或代表处（第一项）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香港金融行业组织的主体资格文件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行业主管部门的许可文件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楷体_GB2312" w:hAnsi="楷体" w:eastAsia="楷体_GB2312" w:cs="Times New Roman"/>
                <w:b/>
                <w:kern w:val="0"/>
                <w:sz w:val="24"/>
                <w:szCs w:val="24"/>
                <w:lang w:val="en-US" w:eastAsia="zh-CN" w:bidi="ar-SA"/>
              </w:rPr>
              <w:t xml:space="preserve">（二）外商独资企业（第二项）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经香港金融监管部门认定为从业资格考试举办机构的文件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外商独资企业的章程等股东关系文件</w:t>
            </w:r>
            <w:r>
              <w:rPr>
                <w:rFonts w:hint="default" w:ascii="Calibri" w:hAnsi="仿宋" w:cs="Times New Roman"/>
                <w:kern w:val="0"/>
                <w:sz w:val="24"/>
                <w:szCs w:val="24"/>
                <w:lang w:eastAsia="zh-CN" w:bidi="ar-SA"/>
              </w:rPr>
              <w:t>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十五、</w:t>
            </w:r>
            <w:bookmarkStart w:id="8" w:name="_Hlk82075642"/>
            <w:r>
              <w:rPr>
                <w:rFonts w:hint="eastAsia" w:ascii="黑体" w:hAnsi="黑体" w:eastAsia="黑体" w:cs="Times New Roman"/>
                <w:kern w:val="0"/>
                <w:sz w:val="24"/>
                <w:szCs w:val="24"/>
                <w:lang w:val="en-US" w:eastAsia="zh-CN" w:bidi="ar-SA"/>
              </w:rPr>
              <w:t>港资大宗商品现货交易场所运营扶持补充材料</w:t>
            </w:r>
            <w:bookmarkStart w:id="9" w:name="_Hlk81383341"/>
            <w:r>
              <w:rPr>
                <w:rFonts w:hint="eastAsia" w:ascii="黑体" w:hAnsi="黑体" w:eastAsia="黑体" w:cs="Times New Roman"/>
                <w:kern w:val="0"/>
                <w:sz w:val="24"/>
                <w:szCs w:val="24"/>
                <w:lang w:val="en-US" w:eastAsia="zh-CN" w:bidi="ar-SA"/>
              </w:rPr>
              <w:t>（第二十三条）</w:t>
            </w:r>
            <w:bookmarkEnd w:id="8"/>
            <w:bookmarkEnd w:id="9"/>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股东资格材料及商务部门备案文件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bookmarkStart w:id="10" w:name="_Hlk82075656"/>
            <w:r>
              <w:rPr>
                <w:rFonts w:hint="eastAsia" w:ascii="Calibri" w:hAnsi="仿宋" w:eastAsia="宋体" w:cs="Times New Roman"/>
                <w:kern w:val="0"/>
                <w:sz w:val="24"/>
                <w:szCs w:val="24"/>
                <w:lang w:val="en-US" w:eastAsia="zh-CN" w:bidi="ar-SA"/>
              </w:rPr>
              <w:t>证明上年度交易额的业务审计报告</w:t>
            </w:r>
            <w:bookmarkEnd w:id="10"/>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auto" w:sz="12"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十六、银行开展</w:t>
            </w:r>
            <w:r>
              <w:rPr>
                <w:rFonts w:hint="default" w:ascii="黑体" w:hAnsi="黑体" w:eastAsia="黑体" w:cs="Times New Roman"/>
                <w:kern w:val="0"/>
                <w:sz w:val="24"/>
                <w:szCs w:val="24"/>
                <w:lang w:eastAsia="zh-CN" w:bidi="ar-SA"/>
              </w:rPr>
              <w:t>“</w:t>
            </w:r>
            <w:r>
              <w:rPr>
                <w:rFonts w:hint="eastAsia" w:ascii="黑体" w:hAnsi="黑体" w:eastAsia="黑体" w:cs="Times New Roman"/>
                <w:kern w:val="0"/>
                <w:sz w:val="24"/>
                <w:szCs w:val="24"/>
                <w:lang w:val="en-US" w:eastAsia="zh-CN" w:bidi="ar-SA"/>
              </w:rPr>
              <w:t>跨境理财通”业务扶持补充材料（第二十四条）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jc w:val="center"/>
        </w:trPr>
        <w:tc>
          <w:tcPr>
            <w:tcW w:w="708" w:type="dxa"/>
            <w:tcBorders>
              <w:top w:val="single" w:color="000000" w:sz="4" w:space="0"/>
              <w:left w:val="single" w:color="auto" w:sz="12" w:space="0"/>
              <w:bottom w:val="single" w:color="000000" w:sz="4" w:space="0"/>
              <w:right w:val="single" w:color="000000" w:sz="4" w:space="0"/>
            </w:tcBorders>
            <w:noWrap w:val="0"/>
            <w:vAlign w:val="center"/>
          </w:tcPr>
          <w:p>
            <w:pPr>
              <w:pStyle w:val="12"/>
              <w:spacing w:before="72"/>
              <w:ind w:left="0"/>
              <w:jc w:val="center"/>
              <w:rPr>
                <w:rFonts w:hint="default" w:ascii="Calibri" w:hAnsi="仿宋" w:eastAsia="宋体" w:cs="Times New Roman"/>
                <w:kern w:val="0"/>
                <w:sz w:val="24"/>
                <w:szCs w:val="24"/>
                <w:lang w:eastAsia="en-US" w:bidi="ar-SA"/>
              </w:rPr>
            </w:pPr>
            <w:r>
              <w:rPr>
                <w:rFonts w:hint="default" w:ascii="Calibri" w:hAnsi="仿宋" w:cs="Times New Roman"/>
                <w:kern w:val="0"/>
                <w:sz w:val="24"/>
                <w:szCs w:val="24"/>
                <w:lang w:eastAsia="en-US" w:bidi="ar-SA"/>
              </w:rPr>
              <w:t>1</w:t>
            </w:r>
          </w:p>
        </w:tc>
        <w:tc>
          <w:tcPr>
            <w:tcW w:w="9215" w:type="dxa"/>
            <w:tcBorders>
              <w:top w:val="single" w:color="000000" w:sz="4" w:space="0"/>
              <w:left w:val="single" w:color="000000" w:sz="4" w:space="0"/>
              <w:bottom w:val="single" w:color="auto" w:sz="8"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cs="Times New Roman"/>
                <w:kern w:val="0"/>
                <w:sz w:val="24"/>
                <w:szCs w:val="24"/>
                <w:highlight w:val="none"/>
                <w:lang w:val="en-US" w:eastAsia="zh-CN" w:bidi="ar-SA"/>
              </w:rPr>
              <w:t>试点银行</w:t>
            </w:r>
            <w:r>
              <w:rPr>
                <w:rFonts w:hint="default" w:ascii="Calibri" w:hAnsi="仿宋" w:cs="Times New Roman"/>
                <w:kern w:val="0"/>
                <w:sz w:val="24"/>
                <w:szCs w:val="24"/>
                <w:highlight w:val="none"/>
                <w:lang w:eastAsia="zh-CN" w:bidi="ar-SA"/>
              </w:rPr>
              <w:t>“</w:t>
            </w:r>
            <w:r>
              <w:rPr>
                <w:rFonts w:hint="eastAsia" w:ascii="Calibri" w:hAnsi="仿宋" w:eastAsia="宋体" w:cs="Times New Roman"/>
                <w:kern w:val="0"/>
                <w:sz w:val="24"/>
                <w:szCs w:val="24"/>
                <w:highlight w:val="none"/>
                <w:lang w:val="en-US" w:eastAsia="zh-CN" w:bidi="ar-SA"/>
              </w:rPr>
              <w:t>跨境理财通”</w:t>
            </w:r>
            <w:r>
              <w:rPr>
                <w:rFonts w:hint="eastAsia" w:ascii="Calibri" w:hAnsi="仿宋" w:cs="Times New Roman"/>
                <w:kern w:val="0"/>
                <w:sz w:val="24"/>
                <w:szCs w:val="24"/>
                <w:highlight w:val="none"/>
                <w:lang w:val="en-US" w:eastAsia="zh-CN" w:bidi="ar-SA"/>
              </w:rPr>
              <w:t>试点资格</w:t>
            </w:r>
            <w:r>
              <w:rPr>
                <w:rFonts w:hint="default" w:ascii="Calibri" w:hAnsi="仿宋" w:cs="Times New Roman"/>
                <w:kern w:val="0"/>
                <w:sz w:val="24"/>
                <w:szCs w:val="24"/>
                <w:highlight w:val="none"/>
                <w:lang w:eastAsia="zh-CN" w:bidi="ar-SA"/>
              </w:rPr>
              <w:t>文件</w:t>
            </w:r>
            <w:r>
              <w:rPr>
                <w:rFonts w:hint="eastAsia" w:ascii="Calibri" w:hAnsi="仿宋" w:cs="Times New Roman"/>
                <w:kern w:val="0"/>
                <w:sz w:val="24"/>
                <w:szCs w:val="24"/>
                <w:highlight w:val="none"/>
                <w:lang w:val="en-US" w:eastAsia="zh-CN" w:bidi="ar-SA"/>
              </w:rPr>
              <w:t>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jc w:val="center"/>
        </w:trPr>
        <w:tc>
          <w:tcPr>
            <w:tcW w:w="708" w:type="dxa"/>
            <w:tcBorders>
              <w:top w:val="single" w:color="000000" w:sz="4" w:space="0"/>
              <w:left w:val="single" w:color="auto" w:sz="12" w:space="0"/>
              <w:bottom w:val="single" w:color="000000" w:sz="4" w:space="0"/>
              <w:right w:val="single" w:color="000000" w:sz="4" w:space="0"/>
            </w:tcBorders>
            <w:noWrap w:val="0"/>
            <w:vAlign w:val="center"/>
          </w:tcPr>
          <w:p>
            <w:pPr>
              <w:pStyle w:val="12"/>
              <w:spacing w:before="72"/>
              <w:ind w:left="0"/>
              <w:jc w:val="center"/>
              <w:rPr>
                <w:rFonts w:hint="default" w:ascii="Calibri" w:hAnsi="仿宋" w:eastAsia="宋体" w:cs="Times New Roman"/>
                <w:kern w:val="0"/>
                <w:sz w:val="24"/>
                <w:szCs w:val="24"/>
                <w:lang w:eastAsia="en-US" w:bidi="ar-SA"/>
              </w:rPr>
            </w:pPr>
            <w:r>
              <w:rPr>
                <w:rFonts w:hint="default" w:ascii="Calibri" w:hAnsi="仿宋" w:cs="Times New Roman"/>
                <w:kern w:val="0"/>
                <w:sz w:val="24"/>
                <w:szCs w:val="24"/>
                <w:lang w:eastAsia="en-US" w:bidi="ar-SA"/>
              </w:rPr>
              <w:t>2</w:t>
            </w:r>
          </w:p>
        </w:tc>
        <w:tc>
          <w:tcPr>
            <w:tcW w:w="9215" w:type="dxa"/>
            <w:tcBorders>
              <w:top w:val="single" w:color="000000" w:sz="4" w:space="0"/>
              <w:left w:val="single" w:color="000000" w:sz="4" w:space="0"/>
              <w:bottom w:val="single" w:color="auto" w:sz="8"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试点银行</w:t>
            </w:r>
            <w:r>
              <w:rPr>
                <w:rFonts w:hint="default" w:ascii="Calibri" w:hAnsi="仿宋" w:cs="Times New Roman"/>
                <w:kern w:val="0"/>
                <w:sz w:val="24"/>
                <w:szCs w:val="24"/>
                <w:lang w:eastAsia="zh-CN" w:bidi="ar-SA"/>
              </w:rPr>
              <w:t>“</w:t>
            </w:r>
            <w:r>
              <w:rPr>
                <w:rFonts w:hint="eastAsia" w:ascii="Calibri" w:hAnsi="仿宋" w:eastAsia="宋体" w:cs="Times New Roman"/>
                <w:kern w:val="0"/>
                <w:sz w:val="24"/>
                <w:szCs w:val="24"/>
                <w:lang w:val="en-US" w:eastAsia="zh-CN" w:bidi="ar-SA"/>
              </w:rPr>
              <w:t>跨境理财通”首笔业务</w:t>
            </w:r>
            <w:r>
              <w:rPr>
                <w:rFonts w:hint="default" w:ascii="Calibri" w:hAnsi="仿宋" w:cs="Times New Roman"/>
                <w:kern w:val="0"/>
                <w:sz w:val="24"/>
                <w:szCs w:val="24"/>
                <w:lang w:eastAsia="zh-CN" w:bidi="ar-SA"/>
              </w:rPr>
              <w:t>情况说明及</w:t>
            </w:r>
            <w:r>
              <w:rPr>
                <w:rFonts w:hint="eastAsia" w:ascii="Calibri" w:hAnsi="仿宋" w:eastAsia="宋体" w:cs="Times New Roman"/>
                <w:kern w:val="0"/>
                <w:sz w:val="24"/>
                <w:szCs w:val="24"/>
                <w:lang w:val="en-US" w:eastAsia="zh-CN" w:bidi="ar-SA"/>
              </w:rPr>
              <w:t>交易记录（</w:t>
            </w:r>
            <w:r>
              <w:rPr>
                <w:rFonts w:hint="default" w:ascii="Calibri" w:hAnsi="仿宋" w:eastAsia="宋体" w:cs="Times New Roman"/>
                <w:kern w:val="0"/>
                <w:sz w:val="24"/>
                <w:szCs w:val="24"/>
                <w:lang w:eastAsia="zh-CN" w:bidi="ar-SA"/>
              </w:rPr>
              <w:t>第一项，</w:t>
            </w:r>
            <w:r>
              <w:rPr>
                <w:rFonts w:hint="eastAsia" w:ascii="Calibri" w:hAnsi="仿宋" w:eastAsia="宋体" w:cs="Times New Roman"/>
                <w:kern w:val="0"/>
                <w:sz w:val="24"/>
                <w:szCs w:val="24"/>
                <w:lang w:val="en-US" w:eastAsia="zh-CN" w:bidi="ar-SA"/>
              </w:rPr>
              <w:t>涉及隐私的可作脱敏处理）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jc w:val="center"/>
        </w:trPr>
        <w:tc>
          <w:tcPr>
            <w:tcW w:w="708" w:type="dxa"/>
            <w:tcBorders>
              <w:top w:val="single" w:color="000000" w:sz="4" w:space="0"/>
              <w:left w:val="single" w:color="auto" w:sz="12" w:space="0"/>
              <w:bottom w:val="single" w:color="000000" w:sz="4" w:space="0"/>
              <w:right w:val="single" w:color="000000" w:sz="4" w:space="0"/>
            </w:tcBorders>
            <w:noWrap w:val="0"/>
            <w:vAlign w:val="center"/>
          </w:tcPr>
          <w:p>
            <w:pPr>
              <w:pStyle w:val="12"/>
              <w:spacing w:before="72"/>
              <w:ind w:left="0"/>
              <w:jc w:val="center"/>
              <w:rPr>
                <w:rFonts w:hint="default" w:ascii="Calibri" w:hAnsi="仿宋" w:eastAsia="宋体" w:cs="Times New Roman"/>
                <w:kern w:val="0"/>
                <w:sz w:val="24"/>
                <w:szCs w:val="24"/>
                <w:lang w:eastAsia="en-US" w:bidi="ar-SA"/>
              </w:rPr>
            </w:pPr>
            <w:r>
              <w:rPr>
                <w:rFonts w:hint="default" w:ascii="Calibri" w:hAnsi="仿宋" w:cs="Times New Roman"/>
                <w:kern w:val="0"/>
                <w:sz w:val="24"/>
                <w:szCs w:val="24"/>
                <w:lang w:eastAsia="en-US" w:bidi="ar-SA"/>
              </w:rPr>
              <w:t>3</w:t>
            </w:r>
          </w:p>
        </w:tc>
        <w:tc>
          <w:tcPr>
            <w:tcW w:w="9215" w:type="dxa"/>
            <w:tcBorders>
              <w:top w:val="single" w:color="000000" w:sz="4" w:space="0"/>
              <w:left w:val="single" w:color="000000" w:sz="4" w:space="0"/>
              <w:bottom w:val="single" w:color="auto" w:sz="8"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default" w:ascii="Calibri" w:hAnsi="仿宋" w:cs="Times New Roman"/>
                <w:kern w:val="0"/>
                <w:sz w:val="24"/>
                <w:szCs w:val="24"/>
                <w:lang w:eastAsia="zh-CN" w:bidi="ar-SA"/>
              </w:rPr>
              <w:t>“</w:t>
            </w:r>
            <w:r>
              <w:rPr>
                <w:rFonts w:hint="eastAsia" w:ascii="Calibri" w:hAnsi="仿宋" w:eastAsia="宋体" w:cs="Times New Roman"/>
                <w:kern w:val="0"/>
                <w:sz w:val="24"/>
                <w:szCs w:val="24"/>
                <w:lang w:val="en-US" w:eastAsia="zh-CN" w:bidi="ar-SA"/>
              </w:rPr>
              <w:t>跨境理财通”账户开立及交易</w:t>
            </w:r>
            <w:r>
              <w:rPr>
                <w:rFonts w:hint="default" w:ascii="Calibri" w:hAnsi="仿宋" w:cs="Times New Roman"/>
                <w:kern w:val="0"/>
                <w:sz w:val="24"/>
                <w:szCs w:val="24"/>
                <w:lang w:eastAsia="zh-CN" w:bidi="ar-SA"/>
              </w:rPr>
              <w:t>记录</w:t>
            </w:r>
            <w:r>
              <w:rPr>
                <w:rFonts w:hint="eastAsia" w:ascii="Calibri" w:hAnsi="仿宋" w:eastAsia="宋体" w:cs="Times New Roman"/>
                <w:kern w:val="0"/>
                <w:sz w:val="24"/>
                <w:szCs w:val="24"/>
                <w:lang w:val="en-US" w:eastAsia="zh-CN" w:bidi="ar-SA"/>
              </w:rPr>
              <w:t>（</w:t>
            </w:r>
            <w:r>
              <w:rPr>
                <w:rFonts w:hint="default" w:ascii="Calibri" w:hAnsi="仿宋" w:cs="Times New Roman"/>
                <w:kern w:val="0"/>
                <w:sz w:val="24"/>
                <w:szCs w:val="24"/>
                <w:lang w:eastAsia="zh-CN" w:bidi="ar-SA"/>
              </w:rPr>
              <w:t>第二项，</w:t>
            </w:r>
            <w:r>
              <w:rPr>
                <w:rFonts w:hint="eastAsia" w:ascii="Calibri" w:hAnsi="仿宋" w:eastAsia="宋体" w:cs="Times New Roman"/>
                <w:kern w:val="0"/>
                <w:sz w:val="24"/>
                <w:szCs w:val="24"/>
                <w:lang w:val="en-US" w:eastAsia="zh-CN" w:bidi="ar-SA"/>
              </w:rPr>
              <w:t>涉及隐私的可作脱敏处理）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1"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十七、</w:t>
            </w:r>
            <w:bookmarkStart w:id="11" w:name="_Hlk82075671"/>
            <w:r>
              <w:rPr>
                <w:rFonts w:hint="eastAsia" w:ascii="黑体" w:hAnsi="黑体" w:eastAsia="黑体" w:cs="Times New Roman"/>
                <w:kern w:val="0"/>
                <w:sz w:val="24"/>
                <w:szCs w:val="24"/>
                <w:lang w:val="en-US" w:eastAsia="zh-CN" w:bidi="ar-SA"/>
              </w:rPr>
              <w:t>港澳青年创业贷款扶持补充材料（第二十五条）</w:t>
            </w:r>
            <w:bookmarkEnd w:id="11"/>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银行贷款合同及放款</w:t>
            </w:r>
            <w:r>
              <w:rPr>
                <w:rFonts w:hint="default" w:ascii="Calibri" w:hAnsi="仿宋" w:cs="Times New Roman"/>
                <w:kern w:val="0"/>
                <w:sz w:val="24"/>
                <w:szCs w:val="24"/>
                <w:lang w:eastAsia="zh-CN" w:bidi="ar-SA"/>
              </w:rPr>
              <w:t>凭证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港澳青年创办企业创办人</w:t>
            </w:r>
            <w:r>
              <w:rPr>
                <w:rFonts w:hint="default" w:ascii="Calibri" w:hAnsi="仿宋" w:cs="Times New Roman"/>
                <w:kern w:val="0"/>
                <w:sz w:val="24"/>
                <w:szCs w:val="24"/>
                <w:lang w:eastAsia="zh-CN" w:bidi="ar-SA"/>
              </w:rPr>
              <w:t>的港澳永久居民身份证或居民身份证（已注销内地户籍）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zh-CN" w:eastAsia="en-US" w:bidi="ar-SA"/>
              </w:rPr>
            </w:pPr>
            <w:r>
              <w:rPr>
                <w:rFonts w:hint="eastAsia" w:ascii="Calibri" w:hAnsi="仿宋" w:eastAsia="宋体" w:cs="Times New Roman"/>
                <w:kern w:val="0"/>
                <w:sz w:val="24"/>
                <w:szCs w:val="24"/>
                <w:lang w:val="zh-CN" w:eastAsia="en-US" w:bidi="ar-SA"/>
              </w:rPr>
              <w:t>公司章程（</w:t>
            </w:r>
            <w:r>
              <w:rPr>
                <w:rFonts w:hint="default" w:ascii="Calibri" w:hAnsi="仿宋" w:cs="Times New Roman"/>
                <w:kern w:val="0"/>
                <w:sz w:val="24"/>
                <w:szCs w:val="24"/>
                <w:lang w:eastAsia="en-US" w:bidi="ar-SA"/>
              </w:rPr>
              <w:t>表明</w:t>
            </w:r>
            <w:r>
              <w:rPr>
                <w:rFonts w:hint="eastAsia" w:ascii="Calibri" w:hAnsi="仿宋" w:eastAsia="宋体" w:cs="Times New Roman"/>
                <w:kern w:val="0"/>
                <w:sz w:val="24"/>
                <w:szCs w:val="24"/>
                <w:lang w:val="zh-CN" w:eastAsia="en-US" w:bidi="ar-SA"/>
              </w:rPr>
              <w:t>港澳青年持股比例）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4</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贷款企业的上年度营业收入</w:t>
            </w:r>
            <w:r>
              <w:rPr>
                <w:rFonts w:hint="default" w:ascii="Calibri" w:hAnsi="仿宋" w:cs="Times New Roman"/>
                <w:kern w:val="0"/>
                <w:sz w:val="24"/>
                <w:szCs w:val="24"/>
                <w:lang w:eastAsia="zh-CN" w:bidi="ar-SA"/>
              </w:rPr>
              <w:t>情况材料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十八、</w:t>
            </w:r>
            <w:bookmarkStart w:id="12" w:name="_Hlk82075769"/>
            <w:r>
              <w:rPr>
                <w:rFonts w:hint="eastAsia" w:ascii="黑体" w:hAnsi="黑体" w:eastAsia="黑体" w:cs="Times New Roman"/>
                <w:kern w:val="0"/>
                <w:sz w:val="24"/>
                <w:szCs w:val="24"/>
                <w:lang w:val="en-US" w:eastAsia="zh-CN" w:bidi="ar-SA"/>
              </w:rPr>
              <w:t>前海深港国际金融城产业载体补充材料（第二十六条）</w:t>
            </w:r>
            <w:bookmarkEnd w:id="12"/>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深圳市建设工程竣工验收备案</w:t>
            </w:r>
            <w:r>
              <w:rPr>
                <w:rFonts w:hint="default" w:ascii="Calibri" w:hAnsi="仿宋" w:cs="Times New Roman"/>
                <w:kern w:val="0"/>
                <w:sz w:val="24"/>
                <w:szCs w:val="24"/>
                <w:lang w:eastAsia="zh-CN" w:bidi="ar-SA"/>
              </w:rPr>
              <w:t>回执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土地使用权证、建筑工程规划许可证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公共空间平面图及实景照片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4</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楼宇物业服务体系及招商团队情况说明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5</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银行保函（金额不低于</w:t>
            </w:r>
            <w:r>
              <w:rPr>
                <w:rFonts w:hint="default" w:ascii="Calibri" w:hAnsi="仿宋" w:cs="Times New Roman"/>
                <w:kern w:val="0"/>
                <w:sz w:val="24"/>
                <w:szCs w:val="24"/>
                <w:lang w:eastAsia="zh-CN" w:bidi="ar-SA"/>
              </w:rPr>
              <w:t>1</w:t>
            </w:r>
            <w:r>
              <w:rPr>
                <w:rFonts w:hint="eastAsia" w:ascii="Calibri" w:hAnsi="仿宋" w:eastAsia="宋体" w:cs="Times New Roman"/>
                <w:kern w:val="0"/>
                <w:sz w:val="24"/>
                <w:szCs w:val="24"/>
                <w:lang w:val="en-US" w:eastAsia="zh-CN" w:bidi="ar-SA"/>
              </w:rPr>
              <w:t>00万元人民币）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十九、产业载体入驻扶持补充材料（第二十八条）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购买产业载体楼宇的提供产权登记</w:t>
            </w:r>
            <w:r>
              <w:rPr>
                <w:rFonts w:hint="eastAsia" w:ascii="Calibri" w:hAnsi="仿宋" w:eastAsia="宋体" w:cs="Times New Roman"/>
                <w:kern w:val="0"/>
                <w:sz w:val="24"/>
                <w:szCs w:val="24"/>
                <w:shd w:val="clear"/>
                <w:lang w:val="en-US" w:eastAsia="zh-CN" w:bidi="ar-SA"/>
              </w:rPr>
              <w:t>证</w:t>
            </w:r>
            <w:r>
              <w:rPr>
                <w:rFonts w:hint="eastAsia" w:ascii="Calibri" w:hAnsi="仿宋" w:eastAsia="宋体" w:cs="Times New Roman"/>
                <w:kern w:val="0"/>
                <w:sz w:val="24"/>
                <w:szCs w:val="24"/>
                <w:lang w:val="en-US" w:eastAsia="zh-CN" w:bidi="ar-SA"/>
              </w:rPr>
              <w:t>，租赁产业载体楼宇的提供租赁合同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default" w:ascii="Calibri" w:hAnsi="仿宋" w:eastAsia="宋体" w:cs="Times New Roman"/>
                <w:kern w:val="0"/>
                <w:sz w:val="24"/>
                <w:szCs w:val="24"/>
                <w:lang w:eastAsia="zh-CN" w:bidi="ar-SA"/>
              </w:rPr>
            </w:pPr>
            <w:r>
              <w:rPr>
                <w:rFonts w:hint="eastAsia" w:ascii="Calibri" w:hAnsi="仿宋" w:eastAsia="宋体" w:cs="Times New Roman"/>
                <w:kern w:val="0"/>
                <w:sz w:val="24"/>
                <w:szCs w:val="24"/>
                <w:lang w:val="en-US" w:eastAsia="zh-CN" w:bidi="ar-SA"/>
              </w:rPr>
              <w:t>入驻企业金融许可证等资</w:t>
            </w:r>
            <w:bookmarkStart w:id="18" w:name="_GoBack"/>
            <w:bookmarkEnd w:id="18"/>
            <w:r>
              <w:rPr>
                <w:rFonts w:hint="eastAsia" w:ascii="Calibri" w:hAnsi="仿宋" w:eastAsia="宋体" w:cs="Times New Roman"/>
                <w:kern w:val="0"/>
                <w:sz w:val="24"/>
                <w:szCs w:val="24"/>
                <w:lang w:val="en-US" w:eastAsia="zh-CN" w:bidi="ar-SA"/>
              </w:rPr>
              <w:t>质</w:t>
            </w:r>
            <w:r>
              <w:rPr>
                <w:rFonts w:hint="default" w:ascii="Calibri" w:hAnsi="仿宋" w:cs="Times New Roman"/>
                <w:kern w:val="0"/>
                <w:sz w:val="24"/>
                <w:szCs w:val="24"/>
                <w:lang w:eastAsia="zh-CN" w:bidi="ar-SA"/>
              </w:rPr>
              <w:t>文件</w:t>
            </w:r>
            <w:r>
              <w:rPr>
                <w:rFonts w:hint="eastAsia" w:ascii="Calibri" w:hAnsi="仿宋" w:eastAsia="宋体" w:cs="Times New Roman"/>
                <w:kern w:val="0"/>
                <w:sz w:val="24"/>
                <w:szCs w:val="24"/>
                <w:lang w:val="en-US" w:eastAsia="zh-CN" w:bidi="ar-SA"/>
              </w:rPr>
              <w:t>，或在中国证券投资基金业协会登记及产品备案</w:t>
            </w:r>
            <w:r>
              <w:rPr>
                <w:rFonts w:hint="default" w:ascii="Calibri" w:hAnsi="仿宋" w:cs="Times New Roman"/>
                <w:kern w:val="0"/>
                <w:sz w:val="24"/>
                <w:szCs w:val="24"/>
                <w:lang w:eastAsia="zh-CN" w:bidi="ar-SA"/>
              </w:rPr>
              <w:t>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二十、入驻产业载体管理团队经营扶持</w:t>
            </w:r>
            <w:r>
              <w:rPr>
                <w:rFonts w:hint="default" w:ascii="黑体" w:hAnsi="黑体" w:eastAsia="黑体" w:cs="Times New Roman"/>
                <w:kern w:val="0"/>
                <w:sz w:val="24"/>
                <w:szCs w:val="24"/>
                <w:lang w:eastAsia="zh-CN" w:bidi="ar-SA"/>
              </w:rPr>
              <w:t>补充材料</w:t>
            </w:r>
            <w:r>
              <w:rPr>
                <w:rFonts w:hint="eastAsia" w:ascii="黑体" w:hAnsi="黑体" w:eastAsia="黑体" w:cs="Times New Roman"/>
                <w:kern w:val="0"/>
                <w:sz w:val="24"/>
                <w:szCs w:val="24"/>
                <w:lang w:val="en-US" w:eastAsia="zh-CN" w:bidi="ar-SA"/>
              </w:rPr>
              <w:t>（第二十九条）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上年度审计报告（应列明营业收入及利润总额等）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二十一、</w:t>
            </w:r>
            <w:bookmarkStart w:id="13" w:name="_Hlk82075855"/>
            <w:r>
              <w:rPr>
                <w:rFonts w:hint="eastAsia" w:ascii="黑体" w:hAnsi="黑体" w:eastAsia="黑体" w:cs="Times New Roman"/>
                <w:kern w:val="0"/>
                <w:sz w:val="24"/>
                <w:szCs w:val="24"/>
                <w:lang w:val="en-US" w:eastAsia="zh-CN" w:bidi="ar-SA"/>
              </w:rPr>
              <w:t>全国性行业组织或金融行业组织落户扶持补充材料</w:t>
            </w:r>
            <w:bookmarkStart w:id="14" w:name="_Hlk81383568"/>
            <w:r>
              <w:rPr>
                <w:rFonts w:hint="eastAsia" w:ascii="黑体" w:hAnsi="黑体" w:eastAsia="黑体" w:cs="Times New Roman"/>
                <w:kern w:val="0"/>
                <w:sz w:val="24"/>
                <w:szCs w:val="24"/>
                <w:lang w:val="en-US" w:eastAsia="zh-CN" w:bidi="ar-SA"/>
              </w:rPr>
              <w:t>（第三十条）</w:t>
            </w:r>
            <w:bookmarkEnd w:id="13"/>
            <w:bookmarkEnd w:id="14"/>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经金融监管部门批准成立或作为主管部门的文件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二十二、</w:t>
            </w:r>
            <w:bookmarkStart w:id="15" w:name="_Hlk82075868"/>
            <w:r>
              <w:rPr>
                <w:rFonts w:hint="eastAsia" w:ascii="黑体" w:hAnsi="黑体" w:eastAsia="黑体" w:cs="Times New Roman"/>
                <w:kern w:val="0"/>
                <w:sz w:val="24"/>
                <w:szCs w:val="24"/>
                <w:lang w:val="en-US" w:eastAsia="zh-CN" w:bidi="ar-SA"/>
              </w:rPr>
              <w:t>国际组织分支机构落户扶持补充材料（第三十一条</w:t>
            </w:r>
            <w:bookmarkEnd w:id="15"/>
            <w:r>
              <w:rPr>
                <w:rFonts w:hint="eastAsia" w:ascii="黑体" w:hAnsi="黑体" w:eastAsia="黑体" w:cs="Times New Roman"/>
                <w:kern w:val="0"/>
                <w:sz w:val="24"/>
                <w:szCs w:val="24"/>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1</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境外非政府组织机构代表证书或国家有关主管部门批准设立的其他文件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2</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分支机构的主体资格材料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708" w:type="dxa"/>
            <w:tcBorders>
              <w:top w:val="single" w:color="000000" w:sz="4" w:space="0"/>
              <w:bottom w:val="single" w:color="000000" w:sz="4" w:space="0"/>
              <w:right w:val="single" w:color="000000" w:sz="4" w:space="0"/>
            </w:tcBorders>
            <w:noWrap w:val="0"/>
            <w:vAlign w:val="top"/>
          </w:tcPr>
          <w:p>
            <w:pPr>
              <w:pStyle w:val="12"/>
              <w:spacing w:before="72"/>
              <w:ind w:left="0"/>
              <w:jc w:val="center"/>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3</w:t>
            </w:r>
          </w:p>
        </w:tc>
        <w:tc>
          <w:tcPr>
            <w:tcW w:w="9215" w:type="dxa"/>
            <w:tcBorders>
              <w:top w:val="single" w:color="000000" w:sz="4" w:space="0"/>
              <w:left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分支机构组织章程等（</w:t>
            </w:r>
            <w:r>
              <w:rPr>
                <w:rFonts w:hint="default" w:ascii="Calibri" w:hAnsi="仿宋" w:cs="Times New Roman"/>
                <w:kern w:val="0"/>
                <w:sz w:val="24"/>
                <w:szCs w:val="24"/>
                <w:lang w:eastAsia="zh-CN" w:bidi="ar-SA"/>
              </w:rPr>
              <w:t>表</w:t>
            </w:r>
            <w:r>
              <w:rPr>
                <w:rFonts w:hint="eastAsia" w:ascii="Calibri" w:hAnsi="仿宋" w:eastAsia="宋体" w:cs="Times New Roman"/>
                <w:kern w:val="0"/>
                <w:sz w:val="24"/>
                <w:szCs w:val="24"/>
                <w:lang w:val="en-US" w:eastAsia="zh-CN" w:bidi="ar-SA"/>
              </w:rPr>
              <w:t>明开设宗旨）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二十三、</w:t>
            </w:r>
            <w:bookmarkStart w:id="16" w:name="_Hlk82075886"/>
            <w:r>
              <w:rPr>
                <w:rFonts w:hint="eastAsia" w:ascii="黑体" w:hAnsi="黑体" w:eastAsia="黑体" w:cs="Times New Roman"/>
                <w:kern w:val="0"/>
                <w:sz w:val="24"/>
                <w:szCs w:val="24"/>
                <w:lang w:val="en-US" w:eastAsia="zh-CN" w:bidi="ar-SA"/>
              </w:rPr>
              <w:t>金融创新案例扶持补充材料（第三十二条）</w:t>
            </w:r>
            <w:bookmarkEnd w:id="16"/>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jc w:val="center"/>
        </w:trPr>
        <w:tc>
          <w:tcPr>
            <w:tcW w:w="9923" w:type="dxa"/>
            <w:gridSpan w:val="2"/>
            <w:tcBorders>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二十四、</w:t>
            </w:r>
            <w:bookmarkStart w:id="17" w:name="_Hlk82075895"/>
            <w:r>
              <w:rPr>
                <w:rFonts w:hint="eastAsia" w:ascii="黑体" w:hAnsi="黑体" w:eastAsia="黑体" w:cs="Times New Roman"/>
                <w:kern w:val="0"/>
                <w:sz w:val="24"/>
                <w:szCs w:val="24"/>
                <w:lang w:val="en-US" w:eastAsia="zh-CN" w:bidi="ar-SA"/>
              </w:rPr>
              <w:t>重大金融项目落户扶持补充材料（第三十三条）</w:t>
            </w:r>
            <w:bookmarkEnd w:id="17"/>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9923" w:type="dxa"/>
            <w:gridSpan w:val="2"/>
            <w:tcBorders>
              <w:top w:val="single" w:color="000000" w:sz="4" w:space="0"/>
              <w:bottom w:val="single" w:color="000000" w:sz="4" w:space="0"/>
            </w:tcBorders>
            <w:noWrap w:val="0"/>
            <w:vAlign w:val="top"/>
          </w:tcPr>
          <w:p>
            <w:pPr>
              <w:pStyle w:val="12"/>
              <w:spacing w:before="72"/>
              <w:ind w:left="0"/>
              <w:rPr>
                <w:rFonts w:hint="eastAsia" w:ascii="Calibri" w:hAnsi="仿宋" w:eastAsia="宋体" w:cs="Times New Roman"/>
                <w:kern w:val="0"/>
                <w:sz w:val="24"/>
                <w:szCs w:val="24"/>
                <w:lang w:val="en-US" w:eastAsia="en-US" w:bidi="ar-SA"/>
              </w:rPr>
            </w:pPr>
            <w:r>
              <w:rPr>
                <w:rFonts w:hint="eastAsia" w:ascii="Calibri" w:hAnsi="仿宋" w:eastAsia="宋体" w:cs="Times New Roman"/>
                <w:kern w:val="0"/>
                <w:sz w:val="24"/>
                <w:szCs w:val="24"/>
                <w:lang w:val="en-US" w:eastAsia="en-US" w:bidi="ar-SA"/>
              </w:rPr>
              <w:t>无</w:t>
            </w:r>
          </w:p>
        </w:tc>
      </w:tr>
    </w:tbl>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rFonts w:hint="eastAsia" w:ascii="Calibri" w:hAnsi="仿宋" w:eastAsia="宋体" w:cs="Times New Roman"/>
          <w:kern w:val="0"/>
          <w:sz w:val="24"/>
          <w:szCs w:val="24"/>
          <w:lang w:val="en-US" w:eastAsia="zh-CN" w:bidi="ar-SA"/>
        </w:rPr>
      </w:pPr>
      <w:r>
        <w:rPr>
          <w:rFonts w:hint="eastAsia" w:ascii="Calibri" w:hAnsi="仿宋" w:eastAsia="宋体" w:cs="Times New Roman"/>
          <w:b/>
          <w:bCs/>
          <w:kern w:val="0"/>
          <w:sz w:val="24"/>
          <w:szCs w:val="24"/>
          <w:lang w:val="en-US" w:eastAsia="zh-CN" w:bidi="ar-SA"/>
        </w:rPr>
        <w:t>说明：</w:t>
      </w:r>
      <w:r>
        <w:rPr>
          <w:rFonts w:hint="eastAsia" w:ascii="Calibri" w:hAnsi="仿宋" w:eastAsia="宋体" w:cs="Times New Roman"/>
          <w:kern w:val="0"/>
          <w:sz w:val="24"/>
          <w:szCs w:val="24"/>
          <w:lang w:val="en-US" w:eastAsia="zh-CN" w:bidi="ar-SA"/>
        </w:rPr>
        <w:t>1.所有申请机构均需提交基础申报材料。</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2.主体资格证明文件指主管机关出具的营业执照、商业登记证书等，业务资质证明文件指主管机关出具的金融许可证等证书或批准文件。</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3.前海管理局有权视需要查验申报文件原件。</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4.申报材料一式二份，A4纸正反面打印/复印后装订成册（胶装），编写目录并连续编写页码。</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5.需提交纸质件及电子扫描件（刻录光盘，PDF格式，能够进行目录索引）。</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rFonts w:hint="eastAsia" w:ascii="Calibri" w:hAnsi="仿宋" w:eastAsia="宋体" w:cs="Times New Roman"/>
          <w:kern w:val="0"/>
          <w:sz w:val="24"/>
          <w:szCs w:val="24"/>
          <w:lang w:val="en-US" w:eastAsia="zh-CN" w:bidi="ar-SA"/>
        </w:rPr>
      </w:pPr>
      <w:r>
        <w:rPr>
          <w:rFonts w:hint="eastAsia" w:ascii="Calibri" w:hAnsi="仿宋" w:eastAsia="宋体" w:cs="Times New Roman"/>
          <w:kern w:val="0"/>
          <w:sz w:val="24"/>
          <w:szCs w:val="24"/>
          <w:lang w:val="en-US" w:eastAsia="zh-CN" w:bidi="ar-SA"/>
        </w:rPr>
        <w:t>6.申报材料均需加盖申报单位公章，</w:t>
      </w:r>
      <w:r>
        <w:rPr>
          <w:rFonts w:hint="default" w:ascii="Calibri" w:hAnsi="仿宋" w:eastAsia="宋体" w:cs="Times New Roman"/>
          <w:kern w:val="0"/>
          <w:sz w:val="24"/>
          <w:szCs w:val="24"/>
          <w:lang w:val="en-US" w:eastAsia="zh-CN" w:bidi="ar-SA"/>
        </w:rPr>
        <w:t>每份文件</w:t>
      </w:r>
      <w:r>
        <w:rPr>
          <w:rFonts w:hint="eastAsia" w:ascii="Calibri" w:hAnsi="仿宋" w:eastAsia="宋体" w:cs="Times New Roman"/>
          <w:kern w:val="0"/>
          <w:sz w:val="24"/>
          <w:szCs w:val="24"/>
          <w:lang w:val="en-US" w:eastAsia="zh-CN" w:bidi="ar-SA"/>
        </w:rPr>
        <w:t>多页的需加盖骑缝公章。</w:t>
      </w: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p>
    <w:pPr>
      <w:pStyle w:val="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snapToGrid w:val="0"/>
        <w:rPr>
          <w:rFonts w:hint="default"/>
        </w:rPr>
      </w:pPr>
      <w:r>
        <w:rPr>
          <w:rStyle w:val="10"/>
        </w:rPr>
        <w:footnoteRef/>
      </w:r>
      <w:r>
        <w:t xml:space="preserve"> </w:t>
      </w:r>
      <w:r>
        <w:rPr>
          <w:rFonts w:hint="eastAsia"/>
        </w:rPr>
        <w:t>申报《暂行办法》第十三条第（一）项、十六条第（一）项、十八条、二十条、二十二条、二十四条、二十五条、三十二条</w:t>
      </w:r>
      <w:r>
        <w:rPr>
          <w:rFonts w:hint="default"/>
        </w:rPr>
        <w:t>扶持</w:t>
      </w:r>
      <w:r>
        <w:rPr>
          <w:rFonts w:hint="eastAsia"/>
        </w:rPr>
        <w:t>的，</w:t>
      </w:r>
      <w:r>
        <w:rPr>
          <w:rFonts w:hint="default"/>
        </w:rPr>
        <w:t>不需提供</w:t>
      </w:r>
      <w:r>
        <w:rPr>
          <w:rFonts w:hint="eastAsia"/>
        </w:rPr>
        <w:t>基础申报材料</w:t>
      </w:r>
      <w:r>
        <w:rPr>
          <w:rFonts w:hint="default"/>
        </w:rPr>
        <w:t xml:space="preserve">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602A9"/>
    <w:multiLevelType w:val="singleLevel"/>
    <w:tmpl w:val="777602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EEB4F74"/>
    <w:rsid w:val="1F5D06EE"/>
    <w:rsid w:val="23ED9072"/>
    <w:rsid w:val="3EDB1E0F"/>
    <w:rsid w:val="3FEF851D"/>
    <w:rsid w:val="48173777"/>
    <w:rsid w:val="4A1947CF"/>
    <w:rsid w:val="4FB7A516"/>
    <w:rsid w:val="565D8FB0"/>
    <w:rsid w:val="58FD3BCC"/>
    <w:rsid w:val="59FFF1EF"/>
    <w:rsid w:val="5A3FD2B8"/>
    <w:rsid w:val="5FF66CA5"/>
    <w:rsid w:val="65FBB2F7"/>
    <w:rsid w:val="6BC7929F"/>
    <w:rsid w:val="6DF35056"/>
    <w:rsid w:val="6EF7146A"/>
    <w:rsid w:val="6FFBBF9E"/>
    <w:rsid w:val="6FFBD0DE"/>
    <w:rsid w:val="73A4A68A"/>
    <w:rsid w:val="73FFF852"/>
    <w:rsid w:val="74F9203A"/>
    <w:rsid w:val="75F94109"/>
    <w:rsid w:val="76658758"/>
    <w:rsid w:val="76D94B34"/>
    <w:rsid w:val="77BBD473"/>
    <w:rsid w:val="77DDAEDB"/>
    <w:rsid w:val="77FD7CF4"/>
    <w:rsid w:val="79FB6CB1"/>
    <w:rsid w:val="7A5C1440"/>
    <w:rsid w:val="7BD3249B"/>
    <w:rsid w:val="7BDF1A5E"/>
    <w:rsid w:val="7BFF8BE8"/>
    <w:rsid w:val="7C777A06"/>
    <w:rsid w:val="7CFCBA61"/>
    <w:rsid w:val="7FBD1CD4"/>
    <w:rsid w:val="7FDFB211"/>
    <w:rsid w:val="7FEF638B"/>
    <w:rsid w:val="7FF775A7"/>
    <w:rsid w:val="7FFF490D"/>
    <w:rsid w:val="7FFF792B"/>
    <w:rsid w:val="8EBFD322"/>
    <w:rsid w:val="9777B933"/>
    <w:rsid w:val="97EAEDDC"/>
    <w:rsid w:val="B58DCC53"/>
    <w:rsid w:val="B6770394"/>
    <w:rsid w:val="B7D31C36"/>
    <w:rsid w:val="BD3FE6FF"/>
    <w:rsid w:val="BEFE1AF2"/>
    <w:rsid w:val="BFED8246"/>
    <w:rsid w:val="C9FF3B22"/>
    <w:rsid w:val="CDFF8DDD"/>
    <w:rsid w:val="CFF5B27A"/>
    <w:rsid w:val="D4BF00D7"/>
    <w:rsid w:val="D4FC3ABE"/>
    <w:rsid w:val="DBFFE277"/>
    <w:rsid w:val="DCC5E2EE"/>
    <w:rsid w:val="DD7B668A"/>
    <w:rsid w:val="DF7BFE3A"/>
    <w:rsid w:val="DFFEBD27"/>
    <w:rsid w:val="E7BEB217"/>
    <w:rsid w:val="EEAF2E8A"/>
    <w:rsid w:val="EFFF5D2C"/>
    <w:rsid w:val="F4FB20B1"/>
    <w:rsid w:val="F5FFD67B"/>
    <w:rsid w:val="F7BB7D0F"/>
    <w:rsid w:val="F9FF079F"/>
    <w:rsid w:val="FADDF1C7"/>
    <w:rsid w:val="FAFF084A"/>
    <w:rsid w:val="FAFF5C65"/>
    <w:rsid w:val="FB5F3BAC"/>
    <w:rsid w:val="FB5F6BF7"/>
    <w:rsid w:val="FBBDF3CD"/>
    <w:rsid w:val="FBEF74F3"/>
    <w:rsid w:val="FBFF6B09"/>
    <w:rsid w:val="FDF3CAE3"/>
    <w:rsid w:val="FE7B939D"/>
    <w:rsid w:val="FEBDA942"/>
    <w:rsid w:val="FECC1A5F"/>
    <w:rsid w:val="FEFD1E1E"/>
    <w:rsid w:val="FF7F4335"/>
    <w:rsid w:val="FFAC486B"/>
    <w:rsid w:val="FFDC9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paragraph" w:customStyle="1" w:styleId="11">
    <w:name w:val="updatec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Table Paragraph"/>
    <w:basedOn w:val="1"/>
    <w:qFormat/>
    <w:uiPriority w:val="1"/>
    <w:pPr>
      <w:autoSpaceDE w:val="0"/>
      <w:autoSpaceDN w:val="0"/>
      <w:spacing w:before="71" w:line="299" w:lineRule="exact"/>
      <w:ind w:left="117"/>
      <w:jc w:val="left"/>
    </w:pPr>
    <w:rPr>
      <w:rFonts w:ascii="宋体" w:hAnsi="宋体" w:eastAsia="宋体" w:cs="宋体"/>
      <w:kern w:val="0"/>
      <w:sz w:val="22"/>
      <w:lang w:val="zh-CN" w:bidi="zh-CN"/>
    </w:rPr>
  </w:style>
  <w:style w:type="table" w:customStyle="1" w:styleId="13">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赵娇</cp:lastModifiedBy>
  <dcterms:modified xsi:type="dcterms:W3CDTF">2021-11-21T15:53:38Z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46D7E535492A493FB36E6F17B35DC00B</vt:lpwstr>
  </property>
</Properties>
</file>